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3"/>
        <w:bidi w:val="0"/>
      </w:pPr>
      <w:r>
        <w:rPr>
          <w:rtl w:val="0"/>
        </w:rPr>
        <w:t>Figure 1. Environment and embodied state A schematic of the 3</w:t>
      </w:r>
      <w:r>
        <w:rPr>
          <w:rtl w:val="0"/>
        </w:rPr>
        <w:t>×</w:t>
      </w:r>
      <w:r>
        <w:rPr>
          <w:rtl w:val="0"/>
        </w:rPr>
        <w:t>3 grid world showing coordinates (0</w:t>
      </w:r>
      <w:r>
        <w:rPr>
          <w:rtl w:val="0"/>
        </w:rPr>
        <w:t>–</w:t>
      </w:r>
      <w:r>
        <w:rPr>
          <w:rtl w:val="0"/>
        </w:rPr>
        <w:t>2), the agent</w:t>
      </w:r>
      <w:r>
        <w:rPr>
          <w:rtl w:val="1"/>
        </w:rPr>
        <w:t>’</w:t>
      </w:r>
      <w:r>
        <w:rPr>
          <w:rtl w:val="0"/>
        </w:rPr>
        <w:t>s starting position at the centre [1,1] with a persistent body bit \(I=1\), and arrows indicating the four cardinal actions (North, East, South, West). This figure illustrates the bounded world and embodied locus.</w:t>
      </w:r>
    </w:p>
    <w:p>
      <w:pPr>
        <w:pStyle w:val="Heading 3"/>
        <w:bidi w:val="0"/>
      </w:pPr>
    </w:p>
    <w:p>
      <w:pPr>
        <w:pStyle w:val="Heading 3"/>
        <w:bidi w:val="0"/>
      </w:pPr>
      <w:r>
        <w:rPr>
          <w:rtl w:val="0"/>
        </w:rPr>
        <w:t>Figure 2. Counterfactual prediction and surprise minimisation The agent begins at position \([1,1]\) with a persistent body bit \(I=1\). For each candidate action (North, East, South, West), it simulates the next state \(\tilde{s}(a)\) using its internal forward model. The imagined position is compared to the preferred central state \(\mu = [1,1]\), and the action with minimal Euclidean distance is selected. This figure illustrates the agent</w:t>
      </w:r>
      <w:r>
        <w:rPr>
          <w:rtl w:val="1"/>
        </w:rPr>
        <w:t>’</w:t>
      </w:r>
      <w:r>
        <w:rPr>
          <w:rtl w:val="0"/>
        </w:rPr>
        <w:t xml:space="preserve">s internal loop: </w:t>
      </w:r>
      <w:r>
        <w:rPr>
          <w:rtl w:val="1"/>
          <w:lang w:val="ar-SA" w:bidi="ar-SA"/>
        </w:rPr>
        <w:t>“</w:t>
      </w:r>
      <w:r>
        <w:rPr>
          <w:rtl w:val="0"/>
        </w:rPr>
        <w:t xml:space="preserve">If I do this, where will I be </w:t>
      </w:r>
      <w:r>
        <w:rPr>
          <w:rtl w:val="0"/>
        </w:rPr>
        <w:t xml:space="preserve">— </w:t>
      </w:r>
      <w:r>
        <w:rPr>
          <w:rtl w:val="0"/>
        </w:rPr>
        <w:t>and how close is that to where I want to be?</w:t>
      </w:r>
      <w:r>
        <w:rPr>
          <w:rtl w:val="0"/>
        </w:rPr>
        <w:t>”</w:t>
      </w:r>
    </w:p>
    <w:p>
      <w:pPr>
        <w:pStyle w:val="Heading 3"/>
        <w:bidi w:val="0"/>
      </w:pPr>
    </w:p>
    <w:p>
      <w:pPr>
        <w:pStyle w:val="Heading 3"/>
        <w:bidi w:val="0"/>
      </w:pPr>
      <w:r>
        <w:rPr>
          <w:rtl w:val="0"/>
        </w:rPr>
        <w:t>Figure 3. Predictive rate and coherence timeline A line plot of predictive rate (%) and coherence \(C_{\min}\) across 25 timesteps. Predictive rate rises as mean error drops, stabilising near the centre of the grid, while coherence fluctuates with sampled uncertainty. Together, these curves illustrate the agent</w:t>
      </w:r>
      <w:r>
        <w:rPr>
          <w:rtl w:val="1"/>
        </w:rPr>
        <w:t>’</w:t>
      </w:r>
      <w:r>
        <w:rPr>
          <w:rtl w:val="0"/>
        </w:rPr>
        <w:t>s self</w:t>
      </w:r>
      <w:r>
        <w:rPr>
          <w:rtl w:val="0"/>
        </w:rPr>
        <w:t>‑</w:t>
      </w:r>
      <w:r>
        <w:rPr>
          <w:rtl w:val="0"/>
        </w:rPr>
        <w:t>consistency profile: accurate bodily predictions combined with variable internal confidence.</w:t>
      </w:r>
    </w:p>
    <w:p>
      <w:pPr>
        <w:pStyle w:val="Heading 3"/>
        <w:bidi w:val="0"/>
      </w:pPr>
    </w:p>
    <w:p>
      <w:pPr>
        <w:pStyle w:val="Heading 3"/>
        <w:bidi w:val="0"/>
      </w:pPr>
      <w:r>
        <w:rPr>
          <w:rtl w:val="0"/>
        </w:rPr>
        <w:t>Figure 4. Integrated</w:t>
      </w:r>
      <w:r>
        <w:rPr>
          <w:rtl w:val="0"/>
        </w:rPr>
        <w:t>‑</w:t>
      </w:r>
      <w:r>
        <w:rPr>
          <w:rtl w:val="0"/>
        </w:rPr>
        <w:t>information partitions Three</w:t>
      </w:r>
      <w:r>
        <w:rPr>
          <w:rtl w:val="0"/>
        </w:rPr>
        <w:t>‑</w:t>
      </w:r>
      <w:r>
        <w:rPr>
          <w:rtl w:val="0"/>
        </w:rPr>
        <w:t>node diagram (x, y, body bit I) with example partitions. Partitions isolating the body bit yield \(\Phi_{\min}=0\), while integrated partitions yield positive values. This figure visualises the toy integrated</w:t>
      </w:r>
      <w:r>
        <w:rPr>
          <w:rtl w:val="0"/>
        </w:rPr>
        <w:t>‑</w:t>
      </w:r>
      <w:r>
        <w:rPr>
          <w:rtl w:val="0"/>
        </w:rPr>
        <w:t>information measure and the structural binding of body and space.</w:t>
      </w:r>
    </w:p>
    <w:p>
      <w:pPr>
        <w:pStyle w:val="Heading 3"/>
        <w:bidi w:val="0"/>
      </w:pPr>
    </w:p>
    <w:p>
      <w:pPr>
        <w:pStyle w:val="Heading 3"/>
        <w:bidi w:val="0"/>
      </w:pPr>
      <w:r>
        <w:rPr>
          <w:rtl w:val="0"/>
        </w:rPr>
        <w:t>Figure 5. Behavioural trajectory snapshot Sequence of 10 timesteps plotted on the 3</w:t>
      </w:r>
      <w:r>
        <w:rPr>
          <w:rtl w:val="0"/>
        </w:rPr>
        <w:t>×</w:t>
      </w:r>
      <w:r>
        <w:rPr>
          <w:rtl w:val="0"/>
        </w:rPr>
        <w:t>3 grid. The agent occasionally explores the periphery but consistently returns to the centre, demonstrating stable self</w:t>
      </w:r>
      <w:r>
        <w:rPr>
          <w:rtl w:val="0"/>
        </w:rPr>
        <w:t>‑</w:t>
      </w:r>
      <w:r>
        <w:rPr>
          <w:rtl w:val="0"/>
        </w:rPr>
        <w:t>centering behaviour.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